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365"/>
        <w:tblW w:w="0" w:type="auto"/>
        <w:tblLook w:val="04A0" w:firstRow="1" w:lastRow="0" w:firstColumn="1" w:lastColumn="0" w:noHBand="0" w:noVBand="1"/>
      </w:tblPr>
      <w:tblGrid>
        <w:gridCol w:w="5920"/>
      </w:tblGrid>
      <w:tr w:rsidR="00CC2309" w:rsidTr="00C6673E">
        <w:tc>
          <w:tcPr>
            <w:tcW w:w="5920" w:type="dxa"/>
            <w:tcBorders>
              <w:top w:val="nil"/>
              <w:left w:val="nil"/>
              <w:bottom w:val="nil"/>
              <w:right w:val="nil"/>
            </w:tcBorders>
          </w:tcPr>
          <w:p w:rsidR="00CC2309" w:rsidRPr="00CC2309" w:rsidRDefault="00CC2309" w:rsidP="008A5F53">
            <w:pPr>
              <w:ind w:right="884"/>
              <w:jc w:val="right"/>
              <w:rPr>
                <w:color w:val="000000"/>
              </w:rPr>
            </w:pPr>
            <w:r w:rsidRPr="00C6673E">
              <w:rPr>
                <w:rFonts w:ascii="EC Square Sans Pro Light" w:hAnsi="EC Square Sans Pro Light"/>
                <w:b/>
                <w:color w:val="000000" w:themeColor="text1"/>
              </w:rPr>
              <w:t>Paul F. NEMITZ</w:t>
            </w:r>
            <w:r w:rsidRPr="00C6673E">
              <w:rPr>
                <w:rFonts w:ascii="EC Square Sans Pro Light" w:hAnsi="EC Square Sans Pro Light"/>
                <w:color w:val="000000" w:themeColor="text1"/>
              </w:rPr>
              <w:t xml:space="preserve"> </w:t>
            </w:r>
            <w:r w:rsidRPr="00C6673E">
              <w:rPr>
                <w:rFonts w:ascii="EC Square Sans Pro Light" w:hAnsi="EC Square Sans Pro Light"/>
                <w:color w:val="000000" w:themeColor="text1"/>
              </w:rPr>
              <w:br/>
            </w:r>
            <w:r w:rsidR="008A5F53">
              <w:rPr>
                <w:rFonts w:ascii="EC Square Sans Pro Light" w:hAnsi="EC Square Sans Pro Light"/>
                <w:color w:val="000000" w:themeColor="text1"/>
              </w:rPr>
              <w:t>Principal Advisor,</w:t>
            </w:r>
            <w:r w:rsidRPr="00C6673E">
              <w:rPr>
                <w:rFonts w:ascii="EC Square Sans Pro Light" w:hAnsi="EC Square Sans Pro Light"/>
                <w:color w:val="000000" w:themeColor="text1"/>
              </w:rPr>
              <w:br/>
              <w:t>Directorate-General for Justice and Consumers</w:t>
            </w:r>
            <w:r w:rsidRPr="00C6673E">
              <w:rPr>
                <w:rFonts w:ascii="EC Square Sans Pro Light" w:hAnsi="EC Square Sans Pro Light"/>
                <w:color w:val="000000" w:themeColor="text1"/>
              </w:rPr>
              <w:br/>
              <w:t>European Commission</w:t>
            </w:r>
          </w:p>
        </w:tc>
      </w:tr>
    </w:tbl>
    <w:p w:rsidR="00D96CC2" w:rsidRDefault="00B00A14" w:rsidP="00FC7688">
      <w:pPr>
        <w:rPr>
          <w:color w:val="000000"/>
        </w:rPr>
      </w:pPr>
      <w:r>
        <w:rPr>
          <w:noProof/>
        </w:rPr>
        <w:drawing>
          <wp:anchor distT="0" distB="0" distL="114300" distR="114300" simplePos="0" relativeHeight="251658240" behindDoc="0" locked="0" layoutInCell="1" allowOverlap="1" wp14:anchorId="06D68CD1" wp14:editId="6FE4DCAE">
            <wp:simplePos x="0" y="0"/>
            <wp:positionH relativeFrom="column">
              <wp:posOffset>43180</wp:posOffset>
            </wp:positionH>
            <wp:positionV relativeFrom="paragraph">
              <wp:posOffset>59690</wp:posOffset>
            </wp:positionV>
            <wp:extent cx="2139315" cy="1432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Nemitz Justice Official Photo DSC_0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315" cy="143256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tblpY="6322"/>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3589"/>
        <w:gridCol w:w="7399"/>
      </w:tblGrid>
      <w:tr w:rsidR="00BA402F" w:rsidTr="00B00A14">
        <w:tc>
          <w:tcPr>
            <w:tcW w:w="1633" w:type="pct"/>
          </w:tcPr>
          <w:p w:rsidR="00BA402F" w:rsidRPr="00CC2309" w:rsidRDefault="00BA402F" w:rsidP="00B00A14">
            <w:pPr>
              <w:ind w:left="142"/>
              <w:jc w:val="right"/>
              <w:rPr>
                <w:rFonts w:ascii="EC Square Sans Pro Light" w:hAnsi="EC Square Sans Pro Light"/>
              </w:rPr>
            </w:pPr>
          </w:p>
        </w:tc>
        <w:tc>
          <w:tcPr>
            <w:tcW w:w="3367" w:type="pct"/>
          </w:tcPr>
          <w:p w:rsidR="008A5F53" w:rsidRDefault="00C6673E" w:rsidP="00C6673E">
            <w:pPr>
              <w:ind w:left="142" w:right="332"/>
              <w:rPr>
                <w:rFonts w:ascii="EC Square Sans Pro Light" w:hAnsi="EC Square Sans Pro Light"/>
                <w:color w:val="000000"/>
              </w:rPr>
            </w:pPr>
            <w:r w:rsidRPr="00C6673E">
              <w:rPr>
                <w:rFonts w:ascii="EC Square Sans Pro Light" w:hAnsi="EC Square Sans Pro Light"/>
                <w:color w:val="000000"/>
              </w:rPr>
              <w:t xml:space="preserve">Paul F. NEMITZ </w:t>
            </w:r>
            <w:r w:rsidR="008A5F53">
              <w:rPr>
                <w:rFonts w:ascii="EC Square Sans Pro Light" w:hAnsi="EC Square Sans Pro Light"/>
                <w:color w:val="000000"/>
              </w:rPr>
              <w:t>was appointed on 16. April 2017 as</w:t>
            </w:r>
            <w:r w:rsidRPr="00C6673E">
              <w:rPr>
                <w:rFonts w:ascii="EC Square Sans Pro Light" w:hAnsi="EC Square Sans Pro Light"/>
                <w:color w:val="000000"/>
              </w:rPr>
              <w:t xml:space="preserve"> </w:t>
            </w:r>
            <w:r w:rsidR="008A5F53">
              <w:rPr>
                <w:rFonts w:ascii="EC Square Sans Pro Light" w:hAnsi="EC Square Sans Pro Light"/>
                <w:color w:val="000000"/>
              </w:rPr>
              <w:t>the Principal Advisor to the</w:t>
            </w:r>
            <w:r w:rsidRPr="00C6673E">
              <w:rPr>
                <w:rFonts w:ascii="EC Square Sans Pro Light" w:hAnsi="EC Square Sans Pro Light"/>
                <w:color w:val="000000"/>
              </w:rPr>
              <w:t xml:space="preserve"> Director</w:t>
            </w:r>
            <w:r w:rsidR="008A5F53">
              <w:rPr>
                <w:rFonts w:ascii="EC Square Sans Pro Light" w:hAnsi="EC Square Sans Pro Light"/>
                <w:color w:val="000000"/>
              </w:rPr>
              <w:t xml:space="preserve"> </w:t>
            </w:r>
            <w:r w:rsidRPr="00C6673E">
              <w:rPr>
                <w:rFonts w:ascii="EC Square Sans Pro Light" w:hAnsi="EC Square Sans Pro Light"/>
                <w:color w:val="000000"/>
              </w:rPr>
              <w:t>General for Justice and Consumers of the European Commission</w:t>
            </w:r>
            <w:r w:rsidR="008A5F53">
              <w:rPr>
                <w:rFonts w:ascii="EC Square Sans Pro Light" w:hAnsi="EC Square Sans Pro Light"/>
                <w:color w:val="000000"/>
              </w:rPr>
              <w:t xml:space="preserve">. </w:t>
            </w:r>
          </w:p>
          <w:p w:rsidR="008A5F53" w:rsidRDefault="008A5F53" w:rsidP="00C6673E">
            <w:pPr>
              <w:ind w:left="142" w:right="332"/>
              <w:rPr>
                <w:rFonts w:ascii="EC Square Sans Pro Light" w:hAnsi="EC Square Sans Pro Light"/>
                <w:color w:val="000000"/>
              </w:rPr>
            </w:pPr>
          </w:p>
          <w:p w:rsidR="00C6673E" w:rsidRDefault="008A5F53" w:rsidP="00C6673E">
            <w:pPr>
              <w:ind w:left="142" w:right="332"/>
              <w:rPr>
                <w:rFonts w:ascii="EC Square Sans Pro Light" w:hAnsi="EC Square Sans Pro Light"/>
                <w:color w:val="000000"/>
              </w:rPr>
            </w:pPr>
            <w:r>
              <w:rPr>
                <w:rFonts w:ascii="EC Square Sans Pro Light" w:hAnsi="EC Square Sans Pro Light"/>
                <w:color w:val="000000"/>
              </w:rPr>
              <w:t>This follows a 6 year appointment as Director for Fundamental Rights and Citizen’s Rights, during which Nemitz was the lead Director for the Data Protection Reform, the negotiations of the Privacy Shield and the negotiations of the Code of Conduct against hate speech on the Internet.</w:t>
            </w:r>
            <w:r w:rsidR="00C6673E" w:rsidRPr="00C6673E">
              <w:rPr>
                <w:rFonts w:ascii="EC Square Sans Pro Light" w:hAnsi="EC Square Sans Pro Light"/>
                <w:color w:val="000000"/>
              </w:rPr>
              <w:t xml:space="preserve"> </w:t>
            </w:r>
          </w:p>
          <w:p w:rsidR="008A5F53" w:rsidRPr="00C6673E" w:rsidRDefault="008A5F53" w:rsidP="00C6673E">
            <w:pPr>
              <w:ind w:left="142" w:right="332"/>
              <w:rPr>
                <w:rFonts w:ascii="EC Square Sans Pro Light" w:hAnsi="EC Square Sans Pro Light"/>
                <w:color w:val="000000"/>
              </w:rPr>
            </w:pPr>
          </w:p>
          <w:p w:rsidR="00C6673E" w:rsidRDefault="00C6673E" w:rsidP="00C6673E">
            <w:pPr>
              <w:ind w:left="142" w:right="332"/>
              <w:rPr>
                <w:rFonts w:ascii="EC Square Sans Pro Light" w:hAnsi="EC Square Sans Pro Light"/>
                <w:color w:val="000000"/>
              </w:rPr>
            </w:pPr>
            <w:r w:rsidRPr="00C6673E">
              <w:rPr>
                <w:rFonts w:ascii="EC Square Sans Pro Light" w:hAnsi="EC Square Sans Pro Light"/>
                <w:color w:val="000000"/>
              </w:rPr>
              <w:t xml:space="preserve">Before joining the Directorate-General for Justice, Nemitz held posts in the Legal Service of the European Commission, the Cabinet of the Commissioner for Development Cooperation and in the Directorates General for Trade, </w:t>
            </w:r>
            <w:r>
              <w:rPr>
                <w:rFonts w:ascii="EC Square Sans Pro Light" w:hAnsi="EC Square Sans Pro Light"/>
                <w:color w:val="000000"/>
              </w:rPr>
              <w:t>Transport and Maritime Affairs.</w:t>
            </w:r>
          </w:p>
          <w:p w:rsidR="00C6673E" w:rsidRPr="00C6673E" w:rsidRDefault="00C6673E" w:rsidP="00C6673E">
            <w:pPr>
              <w:ind w:left="142" w:right="332"/>
              <w:rPr>
                <w:rFonts w:ascii="EC Square Sans Pro Light" w:hAnsi="EC Square Sans Pro Light"/>
                <w:color w:val="000000"/>
              </w:rPr>
            </w:pPr>
          </w:p>
          <w:p w:rsidR="00C6673E" w:rsidRDefault="00C6673E" w:rsidP="00C6673E">
            <w:pPr>
              <w:ind w:left="142" w:right="332"/>
              <w:rPr>
                <w:rFonts w:ascii="EC Square Sans Pro Light" w:hAnsi="EC Square Sans Pro Light"/>
                <w:color w:val="000000"/>
              </w:rPr>
            </w:pPr>
            <w:r w:rsidRPr="00C6673E">
              <w:rPr>
                <w:rFonts w:ascii="EC Square Sans Pro Light" w:hAnsi="EC Square Sans Pro Light"/>
                <w:color w:val="000000"/>
              </w:rPr>
              <w:t>Nemitz has extensive experience as litigator of the European Commission before the European Court of Justice and has published widely on EU law.</w:t>
            </w:r>
          </w:p>
          <w:p w:rsidR="00C6673E" w:rsidRPr="00C6673E" w:rsidRDefault="00C6673E" w:rsidP="00C6673E">
            <w:pPr>
              <w:ind w:left="142" w:right="332"/>
              <w:rPr>
                <w:rFonts w:ascii="EC Square Sans Pro Light" w:hAnsi="EC Square Sans Pro Light"/>
                <w:color w:val="000000"/>
              </w:rPr>
            </w:pPr>
          </w:p>
          <w:p w:rsidR="00C6673E" w:rsidRDefault="00C6673E" w:rsidP="00C6673E">
            <w:pPr>
              <w:ind w:left="142" w:right="332"/>
              <w:rPr>
                <w:rFonts w:ascii="EC Square Sans Pro Light" w:hAnsi="EC Square Sans Pro Light"/>
                <w:color w:val="000000"/>
              </w:rPr>
            </w:pPr>
            <w:r w:rsidRPr="00C6673E">
              <w:rPr>
                <w:rFonts w:ascii="EC Square Sans Pro Light" w:hAnsi="EC Square Sans Pro Light"/>
                <w:color w:val="000000"/>
              </w:rPr>
              <w:t xml:space="preserve">He is visiting Professor at </w:t>
            </w:r>
            <w:r w:rsidR="008A5F53">
              <w:rPr>
                <w:rFonts w:ascii="EC Square Sans Pro Light" w:hAnsi="EC Square Sans Pro Light"/>
                <w:color w:val="000000"/>
              </w:rPr>
              <w:t>the College of Europe in Bruges and a Member of the Scientific Council of the Foundation for European Progressive Studies (FEPS).</w:t>
            </w:r>
          </w:p>
          <w:p w:rsidR="00C6673E" w:rsidRPr="00C6673E" w:rsidRDefault="00C6673E" w:rsidP="00C6673E">
            <w:pPr>
              <w:ind w:left="142" w:right="332"/>
              <w:rPr>
                <w:rFonts w:ascii="EC Square Sans Pro Light" w:hAnsi="EC Square Sans Pro Light"/>
                <w:color w:val="000000"/>
              </w:rPr>
            </w:pPr>
          </w:p>
          <w:p w:rsidR="00C6673E" w:rsidRDefault="00C6673E" w:rsidP="00C6673E">
            <w:pPr>
              <w:ind w:left="142" w:right="332"/>
              <w:rPr>
                <w:rFonts w:ascii="EC Square Sans Pro Light" w:hAnsi="EC Square Sans Pro Light"/>
                <w:color w:val="000000"/>
              </w:rPr>
            </w:pPr>
            <w:r w:rsidRPr="00C6673E">
              <w:rPr>
                <w:rFonts w:ascii="EC Square Sans Pro Light" w:hAnsi="EC Square Sans Pro Light"/>
                <w:color w:val="000000"/>
              </w:rPr>
              <w:t xml:space="preserve">Nemitz studied Law at Hamburg University. He passed the state examinations for the Judiciary and for a short time was a teaching assistant for Constitutional Law and the Law of the Sea at Hamburg University. </w:t>
            </w:r>
          </w:p>
          <w:p w:rsidR="00C6673E" w:rsidRDefault="00C6673E" w:rsidP="00C6673E">
            <w:pPr>
              <w:ind w:left="142" w:right="332"/>
              <w:rPr>
                <w:rFonts w:ascii="EC Square Sans Pro Light" w:hAnsi="EC Square Sans Pro Light"/>
                <w:color w:val="000000"/>
              </w:rPr>
            </w:pPr>
          </w:p>
          <w:p w:rsidR="00CC2309" w:rsidRPr="00CC2309" w:rsidRDefault="00C6673E" w:rsidP="00C6673E">
            <w:pPr>
              <w:ind w:left="142" w:right="332"/>
              <w:rPr>
                <w:rFonts w:ascii="EC Square Sans Pro Light" w:hAnsi="EC Square Sans Pro Light"/>
                <w:color w:val="000000"/>
              </w:rPr>
            </w:pPr>
            <w:r w:rsidRPr="00C6673E">
              <w:rPr>
                <w:rFonts w:ascii="EC Square Sans Pro Light" w:hAnsi="EC Square Sans Pro Light"/>
                <w:color w:val="000000"/>
              </w:rPr>
              <w:t>He obtained a Master of Comparative Law from George Washington University Law School in Washington, D.C., where he was a Fulbright grantee. He also passed the first and second cycle of the Strasburg Faculty for comparative law.</w:t>
            </w:r>
          </w:p>
          <w:p w:rsidR="00CC2309" w:rsidRPr="00CC2309" w:rsidRDefault="00CC2309" w:rsidP="00B00A14">
            <w:pPr>
              <w:ind w:left="142" w:right="332"/>
              <w:rPr>
                <w:rFonts w:ascii="EC Square Sans Pro Light" w:hAnsi="EC Square Sans Pro Light"/>
                <w:color w:val="000000"/>
              </w:rPr>
            </w:pPr>
          </w:p>
          <w:p w:rsidR="00CC2309" w:rsidRPr="00CC2309" w:rsidRDefault="00CC2309" w:rsidP="00B00A14">
            <w:pPr>
              <w:ind w:left="142" w:right="332"/>
              <w:rPr>
                <w:rFonts w:ascii="EC Square Sans Pro Light" w:hAnsi="EC Square Sans Pro Light"/>
                <w:color w:val="000000"/>
              </w:rPr>
            </w:pPr>
          </w:p>
          <w:p w:rsidR="00CC2309" w:rsidRPr="00C6673E" w:rsidRDefault="00CC2309" w:rsidP="00B00A14">
            <w:pPr>
              <w:ind w:left="142" w:right="332"/>
              <w:rPr>
                <w:rStyle w:val="Hyperlink"/>
                <w:rFonts w:ascii="EC Square Sans Pro Light" w:hAnsi="EC Square Sans Pro Light"/>
                <w:color w:val="auto"/>
              </w:rPr>
            </w:pPr>
            <w:r w:rsidRPr="00C6673E">
              <w:rPr>
                <w:rFonts w:ascii="EC Square Sans Pro Light" w:hAnsi="EC Square Sans Pro Light"/>
              </w:rPr>
              <w:t xml:space="preserve">Follow Paul F. Nemitz on Twitter: </w:t>
            </w:r>
            <w:hyperlink r:id="rId8" w:history="1">
              <w:r w:rsidRPr="00C6673E">
                <w:rPr>
                  <w:rStyle w:val="Hyperlink"/>
                  <w:rFonts w:ascii="EC Square Sans Pro Light" w:hAnsi="EC Square Sans Pro Light"/>
                </w:rPr>
                <w:t>@</w:t>
              </w:r>
              <w:proofErr w:type="spellStart"/>
              <w:r w:rsidRPr="00C6673E">
                <w:rPr>
                  <w:rStyle w:val="Hyperlink"/>
                  <w:rFonts w:ascii="EC Square Sans Pro Light" w:hAnsi="EC Square Sans Pro Light"/>
                </w:rPr>
                <w:t>paulnemitz</w:t>
              </w:r>
              <w:proofErr w:type="spellEnd"/>
            </w:hyperlink>
          </w:p>
          <w:p w:rsidR="00C6673E" w:rsidRPr="00CC2309" w:rsidRDefault="00CC2309" w:rsidP="00C6673E">
            <w:pPr>
              <w:pStyle w:val="ZDGName"/>
              <w:spacing w:before="60"/>
              <w:ind w:left="131" w:right="332"/>
              <w:rPr>
                <w:rFonts w:ascii="EC Square Sans Pro Light" w:hAnsi="EC Square Sans Pro Light" w:cs="Times New Roman"/>
                <w:sz w:val="24"/>
                <w:szCs w:val="24"/>
              </w:rPr>
            </w:pPr>
            <w:r w:rsidRPr="00C6673E">
              <w:rPr>
                <w:rFonts w:ascii="EC Square Sans Pro Light" w:hAnsi="EC Square Sans Pro Light"/>
                <w:sz w:val="24"/>
                <w:szCs w:val="24"/>
              </w:rPr>
              <w:t xml:space="preserve">Website:  </w:t>
            </w:r>
            <w:hyperlink r:id="rId9" w:history="1">
              <w:r w:rsidRPr="00C6673E">
                <w:rPr>
                  <w:rStyle w:val="Hyperlink"/>
                  <w:rFonts w:ascii="EC Square Sans Pro Light" w:hAnsi="EC Square Sans Pro Light" w:cs="Times New Roman"/>
                  <w:sz w:val="24"/>
                  <w:szCs w:val="24"/>
                </w:rPr>
                <w:t>http://ec.europa.eu/justice/index_en.htm</w:t>
              </w:r>
            </w:hyperlink>
          </w:p>
        </w:tc>
      </w:tr>
    </w:tbl>
    <w:p w:rsidR="00D96CC2" w:rsidRDefault="00D96CC2" w:rsidP="00C6673E">
      <w:pPr>
        <w:rPr>
          <w:color w:val="000000"/>
        </w:rPr>
      </w:pPr>
    </w:p>
    <w:sectPr w:rsidR="00D96CC2" w:rsidSect="009038D1">
      <w:headerReference w:type="default" r:id="rId10"/>
      <w:footerReference w:type="default" r:id="rId11"/>
      <w:pgSz w:w="11906" w:h="16838" w:code="9"/>
      <w:pgMar w:top="2835" w:right="567" w:bottom="1418"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23" w:rsidRDefault="00FA0B23" w:rsidP="003934ED">
      <w:r>
        <w:separator/>
      </w:r>
    </w:p>
  </w:endnote>
  <w:endnote w:type="continuationSeparator" w:id="0">
    <w:p w:rsidR="00FA0B23" w:rsidRDefault="00FA0B23" w:rsidP="0039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C Square Sans Pro Light">
    <w:panose1 w:val="020B0506000000020004"/>
    <w:charset w:val="00"/>
    <w:family w:val="swiss"/>
    <w:pitch w:val="variable"/>
    <w:sig w:usb0="A00002BF" w:usb1="5000E0F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ED" w:rsidRPr="00C6673E" w:rsidRDefault="00C6673E" w:rsidP="00AF2738">
    <w:pPr>
      <w:pStyle w:val="Footer"/>
      <w:tabs>
        <w:tab w:val="clear" w:pos="4536"/>
        <w:tab w:val="clear" w:pos="9072"/>
      </w:tabs>
      <w:jc w:val="right"/>
      <w:rPr>
        <w:rFonts w:ascii="EC Square Sans Pro Light" w:hAnsi="EC Square Sans Pro Light"/>
        <w:sz w:val="22"/>
        <w:szCs w:val="22"/>
        <w:lang w:val="fr-BE"/>
      </w:rPr>
    </w:pPr>
    <w:proofErr w:type="spellStart"/>
    <w:r w:rsidRPr="00C6673E">
      <w:rPr>
        <w:rFonts w:ascii="EC Square Sans Pro Light" w:hAnsi="EC Square Sans Pro Light"/>
        <w:sz w:val="22"/>
        <w:szCs w:val="22"/>
        <w:lang w:val="fr-BE"/>
      </w:rPr>
      <w:t>December</w:t>
    </w:r>
    <w:proofErr w:type="spellEnd"/>
    <w:r w:rsidRPr="00C6673E">
      <w:rPr>
        <w:rFonts w:ascii="EC Square Sans Pro Light" w:hAnsi="EC Square Sans Pro Light"/>
        <w:sz w:val="22"/>
        <w:szCs w:val="22"/>
        <w:lang w:val="fr-BE"/>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23" w:rsidRDefault="00FA0B23" w:rsidP="003934ED">
      <w:r>
        <w:separator/>
      </w:r>
    </w:p>
  </w:footnote>
  <w:footnote w:type="continuationSeparator" w:id="0">
    <w:p w:rsidR="00FA0B23" w:rsidRDefault="00FA0B23" w:rsidP="0039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9C" w:rsidRPr="0000679C" w:rsidRDefault="0000679C" w:rsidP="0000679C">
    <w:pPr>
      <w:pStyle w:val="ZCom"/>
      <w:ind w:right="0"/>
      <w:jc w:val="center"/>
    </w:pPr>
    <w:r w:rsidRPr="0000679C">
      <w:rPr>
        <w:noProof/>
        <w:sz w:val="20"/>
        <w:szCs w:val="20"/>
      </w:rPr>
      <w:drawing>
        <wp:inline distT="0" distB="0" distL="0" distR="0" wp14:anchorId="3F874005" wp14:editId="42AFD5C2">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p w:rsidR="0000679C" w:rsidRPr="0000679C" w:rsidRDefault="0000679C" w:rsidP="0000679C">
    <w:pPr>
      <w:pStyle w:val="ZCom"/>
      <w:spacing w:before="160"/>
      <w:ind w:right="0"/>
      <w:jc w:val="center"/>
    </w:pPr>
    <w:r w:rsidRPr="0000679C">
      <w:t>EUROPEAN COMMISSION</w:t>
    </w:r>
  </w:p>
  <w:p w:rsidR="00AF2738" w:rsidRPr="0000679C" w:rsidRDefault="0000679C" w:rsidP="0000679C">
    <w:pPr>
      <w:pStyle w:val="Header"/>
      <w:tabs>
        <w:tab w:val="clear" w:pos="4536"/>
        <w:tab w:val="clear" w:pos="9072"/>
      </w:tabs>
      <w:jc w:val="center"/>
      <w:rPr>
        <w:rFonts w:ascii="Arial" w:hAnsi="Arial" w:cs="Arial"/>
        <w:sz w:val="16"/>
        <w:szCs w:val="16"/>
      </w:rPr>
    </w:pPr>
    <w:r w:rsidRPr="0000679C">
      <w:rPr>
        <w:rFonts w:ascii="Arial" w:hAnsi="Arial" w:cs="Arial"/>
        <w:sz w:val="16"/>
        <w:szCs w:val="16"/>
      </w:rPr>
      <w:t xml:space="preserve">DIRECTORATE-GENERAL </w:t>
    </w:r>
    <w:r w:rsidR="000C68EC" w:rsidRPr="000C68EC">
      <w:rPr>
        <w:rFonts w:ascii="Arial" w:hAnsi="Arial" w:cs="Arial"/>
        <w:sz w:val="16"/>
        <w:szCs w:val="16"/>
      </w:rPr>
      <w:t>FOR JUSTICE AND CONSUMERS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3129"/>
    <w:rsid w:val="0000679C"/>
    <w:rsid w:val="00007CAC"/>
    <w:rsid w:val="00092C9A"/>
    <w:rsid w:val="000A37A2"/>
    <w:rsid w:val="000C1DE8"/>
    <w:rsid w:val="000C68EC"/>
    <w:rsid w:val="000D2A34"/>
    <w:rsid w:val="00110800"/>
    <w:rsid w:val="00173C10"/>
    <w:rsid w:val="001B2CCE"/>
    <w:rsid w:val="0023239B"/>
    <w:rsid w:val="00237292"/>
    <w:rsid w:val="00252494"/>
    <w:rsid w:val="002540D3"/>
    <w:rsid w:val="00271C24"/>
    <w:rsid w:val="00274347"/>
    <w:rsid w:val="002D4821"/>
    <w:rsid w:val="002F37B8"/>
    <w:rsid w:val="002F7B8A"/>
    <w:rsid w:val="0034421E"/>
    <w:rsid w:val="00346673"/>
    <w:rsid w:val="00361A3F"/>
    <w:rsid w:val="0036447F"/>
    <w:rsid w:val="00375846"/>
    <w:rsid w:val="003934ED"/>
    <w:rsid w:val="003A42DD"/>
    <w:rsid w:val="003B195B"/>
    <w:rsid w:val="004047AE"/>
    <w:rsid w:val="004606E9"/>
    <w:rsid w:val="00537384"/>
    <w:rsid w:val="00575C7A"/>
    <w:rsid w:val="005C533F"/>
    <w:rsid w:val="005E5966"/>
    <w:rsid w:val="006160C9"/>
    <w:rsid w:val="00624929"/>
    <w:rsid w:val="006552CD"/>
    <w:rsid w:val="006936B2"/>
    <w:rsid w:val="006F5B45"/>
    <w:rsid w:val="00781569"/>
    <w:rsid w:val="00786D55"/>
    <w:rsid w:val="007E6926"/>
    <w:rsid w:val="007F2DA1"/>
    <w:rsid w:val="007F4629"/>
    <w:rsid w:val="00840B74"/>
    <w:rsid w:val="008A5F53"/>
    <w:rsid w:val="009038D1"/>
    <w:rsid w:val="00967D11"/>
    <w:rsid w:val="00A042CF"/>
    <w:rsid w:val="00AF2738"/>
    <w:rsid w:val="00B0019E"/>
    <w:rsid w:val="00B0020A"/>
    <w:rsid w:val="00B00A14"/>
    <w:rsid w:val="00B6499E"/>
    <w:rsid w:val="00BA402F"/>
    <w:rsid w:val="00BD431D"/>
    <w:rsid w:val="00BE1C7A"/>
    <w:rsid w:val="00C017B3"/>
    <w:rsid w:val="00C22FEC"/>
    <w:rsid w:val="00C2367D"/>
    <w:rsid w:val="00C36BEB"/>
    <w:rsid w:val="00C42201"/>
    <w:rsid w:val="00C43129"/>
    <w:rsid w:val="00C6673E"/>
    <w:rsid w:val="00CC00BD"/>
    <w:rsid w:val="00CC2309"/>
    <w:rsid w:val="00D35F14"/>
    <w:rsid w:val="00D44078"/>
    <w:rsid w:val="00D46902"/>
    <w:rsid w:val="00D65923"/>
    <w:rsid w:val="00D96CC2"/>
    <w:rsid w:val="00DD5BA5"/>
    <w:rsid w:val="00E00D2A"/>
    <w:rsid w:val="00E3222F"/>
    <w:rsid w:val="00E46DCA"/>
    <w:rsid w:val="00F066EA"/>
    <w:rsid w:val="00F50015"/>
    <w:rsid w:val="00FA0B23"/>
    <w:rsid w:val="00FC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D659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rsid w:val="00967D11"/>
    <w:pPr>
      <w:widowControl w:val="0"/>
      <w:autoSpaceDE w:val="0"/>
      <w:autoSpaceDN w:val="0"/>
      <w:ind w:right="85"/>
      <w:jc w:val="both"/>
    </w:pPr>
    <w:rPr>
      <w:rFonts w:ascii="Arial" w:hAnsi="Arial" w:cs="Arial"/>
    </w:rPr>
  </w:style>
  <w:style w:type="paragraph" w:customStyle="1" w:styleId="ZDGName">
    <w:name w:val="Z_DGName"/>
    <w:basedOn w:val="Normal"/>
    <w:uiPriority w:val="99"/>
    <w:rsid w:val="00967D11"/>
    <w:pPr>
      <w:widowControl w:val="0"/>
      <w:autoSpaceDE w:val="0"/>
      <w:autoSpaceDN w:val="0"/>
      <w:ind w:right="85"/>
    </w:pPr>
    <w:rPr>
      <w:rFonts w:ascii="Arial" w:hAnsi="Arial" w:cs="Arial"/>
      <w:sz w:val="16"/>
      <w:szCs w:val="16"/>
    </w:rPr>
  </w:style>
  <w:style w:type="character" w:customStyle="1" w:styleId="Heading3Char">
    <w:name w:val="Heading 3 Char"/>
    <w:link w:val="Heading3"/>
    <w:rsid w:val="00D65923"/>
    <w:rPr>
      <w:rFonts w:ascii="Cambria" w:eastAsia="Times New Roman" w:hAnsi="Cambria" w:cs="Times New Roman"/>
      <w:b/>
      <w:bCs/>
      <w:sz w:val="26"/>
      <w:szCs w:val="26"/>
    </w:rPr>
  </w:style>
  <w:style w:type="character" w:styleId="Hyperlink">
    <w:name w:val="Hyperlink"/>
    <w:rsid w:val="00D65923"/>
    <w:rPr>
      <w:color w:val="0000FF"/>
      <w:u w:val="single"/>
    </w:rPr>
  </w:style>
  <w:style w:type="paragraph" w:styleId="Header">
    <w:name w:val="header"/>
    <w:basedOn w:val="Normal"/>
    <w:link w:val="HeaderChar"/>
    <w:rsid w:val="003934ED"/>
    <w:pPr>
      <w:tabs>
        <w:tab w:val="center" w:pos="4536"/>
        <w:tab w:val="right" w:pos="9072"/>
      </w:tabs>
    </w:pPr>
  </w:style>
  <w:style w:type="character" w:customStyle="1" w:styleId="HeaderChar">
    <w:name w:val="Header Char"/>
    <w:link w:val="Header"/>
    <w:rsid w:val="003934ED"/>
    <w:rPr>
      <w:sz w:val="24"/>
      <w:szCs w:val="24"/>
    </w:rPr>
  </w:style>
  <w:style w:type="paragraph" w:styleId="Footer">
    <w:name w:val="footer"/>
    <w:basedOn w:val="Normal"/>
    <w:link w:val="FooterChar"/>
    <w:rsid w:val="003934ED"/>
    <w:pPr>
      <w:tabs>
        <w:tab w:val="center" w:pos="4536"/>
        <w:tab w:val="right" w:pos="9072"/>
      </w:tabs>
    </w:pPr>
  </w:style>
  <w:style w:type="character" w:customStyle="1" w:styleId="FooterChar">
    <w:name w:val="Footer Char"/>
    <w:link w:val="Footer"/>
    <w:rsid w:val="003934ED"/>
    <w:rPr>
      <w:sz w:val="24"/>
      <w:szCs w:val="24"/>
    </w:rPr>
  </w:style>
  <w:style w:type="paragraph" w:styleId="BalloonText">
    <w:name w:val="Balloon Text"/>
    <w:basedOn w:val="Normal"/>
    <w:link w:val="BalloonTextChar"/>
    <w:rsid w:val="00CC00BD"/>
    <w:rPr>
      <w:rFonts w:ascii="Tahoma" w:hAnsi="Tahoma" w:cs="Tahoma"/>
      <w:sz w:val="16"/>
      <w:szCs w:val="16"/>
    </w:rPr>
  </w:style>
  <w:style w:type="character" w:customStyle="1" w:styleId="BalloonTextChar">
    <w:name w:val="Balloon Text Char"/>
    <w:basedOn w:val="DefaultParagraphFont"/>
    <w:link w:val="BalloonText"/>
    <w:rsid w:val="00CC00BD"/>
    <w:rPr>
      <w:rFonts w:ascii="Tahoma" w:hAnsi="Tahoma" w:cs="Tahoma"/>
      <w:sz w:val="16"/>
      <w:szCs w:val="16"/>
    </w:rPr>
  </w:style>
  <w:style w:type="table" w:styleId="TableGrid">
    <w:name w:val="Table Grid"/>
    <w:basedOn w:val="TableNormal"/>
    <w:rsid w:val="00D4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C68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D659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99"/>
    <w:rsid w:val="00967D11"/>
    <w:pPr>
      <w:widowControl w:val="0"/>
      <w:autoSpaceDE w:val="0"/>
      <w:autoSpaceDN w:val="0"/>
      <w:ind w:right="85"/>
      <w:jc w:val="both"/>
    </w:pPr>
    <w:rPr>
      <w:rFonts w:ascii="Arial" w:hAnsi="Arial" w:cs="Arial"/>
    </w:rPr>
  </w:style>
  <w:style w:type="paragraph" w:customStyle="1" w:styleId="ZDGName">
    <w:name w:val="Z_DGName"/>
    <w:basedOn w:val="Normal"/>
    <w:uiPriority w:val="99"/>
    <w:rsid w:val="00967D11"/>
    <w:pPr>
      <w:widowControl w:val="0"/>
      <w:autoSpaceDE w:val="0"/>
      <w:autoSpaceDN w:val="0"/>
      <w:ind w:right="85"/>
    </w:pPr>
    <w:rPr>
      <w:rFonts w:ascii="Arial" w:hAnsi="Arial" w:cs="Arial"/>
      <w:sz w:val="16"/>
      <w:szCs w:val="16"/>
    </w:rPr>
  </w:style>
  <w:style w:type="character" w:customStyle="1" w:styleId="Heading3Char">
    <w:name w:val="Heading 3 Char"/>
    <w:link w:val="Heading3"/>
    <w:rsid w:val="00D65923"/>
    <w:rPr>
      <w:rFonts w:ascii="Cambria" w:eastAsia="Times New Roman" w:hAnsi="Cambria" w:cs="Times New Roman"/>
      <w:b/>
      <w:bCs/>
      <w:sz w:val="26"/>
      <w:szCs w:val="26"/>
    </w:rPr>
  </w:style>
  <w:style w:type="character" w:styleId="Hyperlink">
    <w:name w:val="Hyperlink"/>
    <w:rsid w:val="00D65923"/>
    <w:rPr>
      <w:color w:val="0000FF"/>
      <w:u w:val="single"/>
    </w:rPr>
  </w:style>
  <w:style w:type="paragraph" w:styleId="Header">
    <w:name w:val="header"/>
    <w:basedOn w:val="Normal"/>
    <w:link w:val="HeaderChar"/>
    <w:rsid w:val="003934ED"/>
    <w:pPr>
      <w:tabs>
        <w:tab w:val="center" w:pos="4536"/>
        <w:tab w:val="right" w:pos="9072"/>
      </w:tabs>
    </w:pPr>
  </w:style>
  <w:style w:type="character" w:customStyle="1" w:styleId="HeaderChar">
    <w:name w:val="Header Char"/>
    <w:link w:val="Header"/>
    <w:rsid w:val="003934ED"/>
    <w:rPr>
      <w:sz w:val="24"/>
      <w:szCs w:val="24"/>
    </w:rPr>
  </w:style>
  <w:style w:type="paragraph" w:styleId="Footer">
    <w:name w:val="footer"/>
    <w:basedOn w:val="Normal"/>
    <w:link w:val="FooterChar"/>
    <w:rsid w:val="003934ED"/>
    <w:pPr>
      <w:tabs>
        <w:tab w:val="center" w:pos="4536"/>
        <w:tab w:val="right" w:pos="9072"/>
      </w:tabs>
    </w:pPr>
  </w:style>
  <w:style w:type="character" w:customStyle="1" w:styleId="FooterChar">
    <w:name w:val="Footer Char"/>
    <w:link w:val="Footer"/>
    <w:rsid w:val="003934ED"/>
    <w:rPr>
      <w:sz w:val="24"/>
      <w:szCs w:val="24"/>
    </w:rPr>
  </w:style>
  <w:style w:type="paragraph" w:styleId="BalloonText">
    <w:name w:val="Balloon Text"/>
    <w:basedOn w:val="Normal"/>
    <w:link w:val="BalloonTextChar"/>
    <w:rsid w:val="00CC00BD"/>
    <w:rPr>
      <w:rFonts w:ascii="Tahoma" w:hAnsi="Tahoma" w:cs="Tahoma"/>
      <w:sz w:val="16"/>
      <w:szCs w:val="16"/>
    </w:rPr>
  </w:style>
  <w:style w:type="character" w:customStyle="1" w:styleId="BalloonTextChar">
    <w:name w:val="Balloon Text Char"/>
    <w:basedOn w:val="DefaultParagraphFont"/>
    <w:link w:val="BalloonText"/>
    <w:rsid w:val="00CC00BD"/>
    <w:rPr>
      <w:rFonts w:ascii="Tahoma" w:hAnsi="Tahoma" w:cs="Tahoma"/>
      <w:sz w:val="16"/>
      <w:szCs w:val="16"/>
    </w:rPr>
  </w:style>
  <w:style w:type="table" w:styleId="TableGrid">
    <w:name w:val="Table Grid"/>
    <w:basedOn w:val="TableNormal"/>
    <w:rsid w:val="00D4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C6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ulNemit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justic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1744</CharactersWithSpaces>
  <SharedDoc>false</SharedDoc>
  <HLinks>
    <vt:vector size="6" baseType="variant">
      <vt:variant>
        <vt:i4>2293769</vt:i4>
      </vt:variant>
      <vt:variant>
        <vt:i4>0</vt:i4>
      </vt:variant>
      <vt:variant>
        <vt:i4>0</vt:i4>
      </vt:variant>
      <vt:variant>
        <vt:i4>5</vt:i4>
      </vt:variant>
      <vt:variant>
        <vt:lpwstr>http://ec.europa.eu/justice/index_en.htm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swinnju</dc:creator>
  <cp:lastModifiedBy>AMBROSINO Laura (JUST)</cp:lastModifiedBy>
  <cp:revision>4</cp:revision>
  <cp:lastPrinted>2015-09-18T13:45:00Z</cp:lastPrinted>
  <dcterms:created xsi:type="dcterms:W3CDTF">2015-09-18T13:58:00Z</dcterms:created>
  <dcterms:modified xsi:type="dcterms:W3CDTF">2016-11-15T14:10:00Z</dcterms:modified>
</cp:coreProperties>
</file>